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中介机构人驻服务平台协议书</w:t>
      </w:r>
    </w:p>
    <w:p>
      <w:pPr>
        <w:rPr>
          <w:rFonts w:hint="eastAsia"/>
        </w:rPr>
      </w:pPr>
    </w:p>
    <w:p>
      <w:pPr>
        <w:spacing w:line="360" w:lineRule="auto"/>
        <w:ind w:firstLine="560" w:firstLineChars="200"/>
        <w:rPr>
          <w:rFonts w:hint="eastAsia" w:ascii="仿宋" w:hAnsi="仿宋" w:eastAsia="仿宋" w:cs="仿宋"/>
          <w:u w:val="single"/>
        </w:rPr>
      </w:pPr>
      <w:r>
        <w:rPr>
          <w:rFonts w:hint="eastAsia" w:ascii="仿宋" w:hAnsi="仿宋" w:eastAsia="仿宋" w:cs="仿宋"/>
        </w:rPr>
        <w:t>甲方:</w:t>
      </w:r>
      <w:r>
        <w:rPr>
          <w:rFonts w:hint="eastAsia" w:ascii="仿宋" w:hAnsi="仿宋" w:eastAsia="仿宋" w:cs="仿宋"/>
          <w:lang w:val="en-US" w:eastAsia="zh-CN"/>
        </w:rPr>
        <w:t xml:space="preserve"> </w:t>
      </w:r>
      <w:r>
        <w:rPr>
          <w:rFonts w:hint="eastAsia" w:ascii="仿宋" w:hAnsi="仿宋" w:eastAsia="仿宋" w:cs="仿宋"/>
          <w:u w:val="single"/>
        </w:rPr>
        <w:t>南充市顺庆区公共资源交易中心</w:t>
      </w:r>
    </w:p>
    <w:p>
      <w:pPr>
        <w:spacing w:line="360" w:lineRule="auto"/>
        <w:ind w:firstLine="560" w:firstLineChars="200"/>
        <w:rPr>
          <w:rFonts w:hint="eastAsia" w:ascii="仿宋" w:hAnsi="仿宋" w:eastAsia="仿宋" w:cs="仿宋"/>
          <w:u w:val="single"/>
          <w:lang w:val="en-US" w:eastAsia="zh-CN"/>
        </w:rPr>
      </w:pPr>
      <w:r>
        <w:rPr>
          <w:rFonts w:hint="eastAsia" w:ascii="仿宋" w:hAnsi="仿宋" w:eastAsia="仿宋" w:cs="仿宋"/>
        </w:rPr>
        <w:t>乙方:</w:t>
      </w:r>
      <w:r>
        <w:rPr>
          <w:rFonts w:hint="eastAsia" w:ascii="仿宋" w:hAnsi="仿宋" w:eastAsia="仿宋" w:cs="仿宋"/>
          <w:u w:val="single"/>
          <w:lang w:val="en-US" w:eastAsia="zh-CN"/>
        </w:rPr>
        <w:t xml:space="preserve">                            </w:t>
      </w:r>
      <w:bookmarkStart w:id="0" w:name="_GoBack"/>
      <w:bookmarkEnd w:id="0"/>
    </w:p>
    <w:p>
      <w:pPr>
        <w:spacing w:line="360" w:lineRule="auto"/>
        <w:ind w:firstLine="560" w:firstLineChars="200"/>
        <w:rPr>
          <w:rFonts w:hint="eastAsia" w:ascii="仿宋" w:hAnsi="仿宋" w:eastAsia="仿宋" w:cs="仿宋"/>
        </w:rPr>
      </w:pPr>
      <w:r>
        <w:rPr>
          <w:rFonts w:hint="eastAsia" w:ascii="仿宋" w:hAnsi="仿宋" w:eastAsia="仿宋" w:cs="仿宋"/>
        </w:rPr>
        <w:t>统一社会信用代码:</w:t>
      </w:r>
      <w:r>
        <w:rPr>
          <w:rFonts w:hint="eastAsia" w:ascii="仿宋" w:hAnsi="仿宋" w:eastAsia="仿宋" w:cs="仿宋"/>
          <w:u w:val="single"/>
          <w:lang w:val="en-US" w:eastAsia="zh-CN"/>
        </w:rPr>
        <w:t xml:space="preserve">                          </w:t>
      </w:r>
    </w:p>
    <w:p>
      <w:pPr>
        <w:spacing w:line="360" w:lineRule="auto"/>
        <w:ind w:firstLine="560" w:firstLineChars="200"/>
        <w:rPr>
          <w:rFonts w:hint="eastAsia" w:ascii="仿宋" w:hAnsi="仿宋" w:eastAsia="仿宋" w:cs="仿宋"/>
        </w:rPr>
      </w:pPr>
      <w:r>
        <w:rPr>
          <w:rFonts w:hint="eastAsia" w:ascii="仿宋" w:hAnsi="仿宋" w:eastAsia="仿宋" w:cs="仿宋"/>
        </w:rPr>
        <w:t>为进一步规范中介机构入驻南充市顺庆区中介服务平台的管理，本着平等自愿、公平、诚实信用的原则，特订立本协议，望甲、乙双方共同遵守、执行:</w:t>
      </w:r>
    </w:p>
    <w:p>
      <w:pPr>
        <w:numPr>
          <w:ilvl w:val="0"/>
          <w:numId w:val="0"/>
        </w:numPr>
        <w:spacing w:line="360" w:lineRule="auto"/>
        <w:ind w:firstLine="560" w:firstLineChars="20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甲方为乙方入驻服务平台提供必要的网络技术支持。</w:t>
      </w:r>
    </w:p>
    <w:p>
      <w:pPr>
        <w:numPr>
          <w:ilvl w:val="0"/>
          <w:numId w:val="0"/>
        </w:numPr>
        <w:spacing w:line="360" w:lineRule="auto"/>
        <w:ind w:firstLine="560" w:firstLineChars="20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甲方在服务平台的管理上按照“公开透明、竞争有序、服务优质、廉洁规范”的原则，公开征集中介机构，并对入驻服务平台的中介机构进行动态调整和规范管理。</w:t>
      </w:r>
    </w:p>
    <w:p>
      <w:pPr>
        <w:spacing w:line="360" w:lineRule="auto"/>
        <w:ind w:firstLine="560" w:firstLineChars="200"/>
        <w:rPr>
          <w:rFonts w:hint="eastAsia" w:ascii="仿宋" w:hAnsi="仿宋" w:eastAsia="仿宋" w:cs="仿宋"/>
        </w:rPr>
      </w:pPr>
      <w:r>
        <w:rPr>
          <w:rFonts w:hint="eastAsia" w:ascii="仿宋" w:hAnsi="仿宋" w:eastAsia="仿宋" w:cs="仿宋"/>
          <w:lang w:val="en-US" w:eastAsia="zh-CN"/>
        </w:rPr>
        <w:t>三、</w:t>
      </w:r>
      <w:r>
        <w:rPr>
          <w:rFonts w:hint="eastAsia" w:ascii="仿宋" w:hAnsi="仿宋" w:eastAsia="仿宋" w:cs="仿宋"/>
        </w:rPr>
        <w:t>乙方申请入驻服务平台时，对所提供的资质证明、主要业绩等证明材料必须真实、合法、有效;否则自愿接受相关行业和部门的处罚，并承担相应的法律责任。甲方在复核审查过程中，如发现乙方提供的证明材料不齐全、不完善时，甲方有权要求乙方在规定的期限内予以补正;若乙方因自身原因在规定的期限内未提交或者提交的证明材料仍不符合要求的，则视为乙方主动放弃入驻服务平台的权利。</w:t>
      </w:r>
    </w:p>
    <w:p>
      <w:pPr>
        <w:spacing w:line="360" w:lineRule="auto"/>
        <w:ind w:firstLine="560" w:firstLineChars="200"/>
        <w:rPr>
          <w:rFonts w:hint="eastAsia" w:ascii="仿宋" w:hAnsi="仿宋" w:eastAsia="仿宋" w:cs="仿宋"/>
        </w:rPr>
      </w:pPr>
      <w:r>
        <w:rPr>
          <w:rFonts w:hint="eastAsia" w:ascii="仿宋" w:hAnsi="仿宋" w:eastAsia="仿宋" w:cs="仿宋"/>
        </w:rPr>
        <w:t>四、乙方入驻服务平台并在签订本协议后，需向南充市顺庆区财政局工程履约账户一次性交纳履约保证金人民币20000.00元（大写:人民币贰万元整)。保证金的退还按照先向甲方提出书面申请,待申请通过后,再携带相关证明材料向区财政局申请退还的管理流程予以办理。</w:t>
      </w:r>
    </w:p>
    <w:p>
      <w:pPr>
        <w:spacing w:line="360" w:lineRule="auto"/>
        <w:ind w:firstLine="560" w:firstLineChars="200"/>
        <w:rPr>
          <w:rFonts w:hint="eastAsia" w:ascii="仿宋" w:hAnsi="仿宋" w:eastAsia="仿宋" w:cs="仿宋"/>
        </w:rPr>
      </w:pPr>
      <w:r>
        <w:rPr>
          <w:rFonts w:hint="eastAsia" w:ascii="仿宋" w:hAnsi="仿宋" w:eastAsia="仿宋" w:cs="仿宋"/>
        </w:rPr>
        <w:t>五、乙方入驻服务平台后,必须严格遵守《顺庆区政府投资建设项目竣工结算审核服务平台管理办法（试行)》和相关法律法规、规章制度的规定,从事与政府投资建设项目竣工结算审核相关工作,服从服务平台的管理。若乙方在审核服务期间发生违规违约、违法违纪的情形，被甲方纳入黑名单或者作出清退处理的,按照《管理办法》的规定处理,并自决定作出之日起本协议自行终止;而由此所产生的一切经济、法律等责任由乙方自行承担。</w:t>
      </w:r>
    </w:p>
    <w:p>
      <w:pPr>
        <w:spacing w:line="360" w:lineRule="auto"/>
        <w:ind w:firstLine="560" w:firstLineChars="200"/>
        <w:rPr>
          <w:rFonts w:hint="eastAsia" w:ascii="仿宋" w:hAnsi="仿宋" w:eastAsia="仿宋" w:cs="仿宋"/>
        </w:rPr>
      </w:pPr>
      <w:r>
        <w:rPr>
          <w:rFonts w:hint="eastAsia" w:ascii="仿宋" w:hAnsi="仿宋" w:eastAsia="仿宋" w:cs="仿宋"/>
        </w:rPr>
        <w:t>六、乙方在每次中选后,应当向甲方提交《中介机构审核服务承诺书》，并客观公正、诚实地开展审核服务，独立出具书面审核报告。若乙方在审核过程中出现重大过失、虚假审核、发生违法违纪等情形的,除依据相关规定进行处罚外,且不予支付审核服务费(含基础审核服务费和审减服务费)，已支付的应当全额退还。</w:t>
      </w:r>
    </w:p>
    <w:p>
      <w:pPr>
        <w:spacing w:line="360" w:lineRule="auto"/>
        <w:ind w:firstLine="560" w:firstLineChars="200"/>
        <w:rPr>
          <w:rFonts w:hint="eastAsia" w:ascii="仿宋" w:hAnsi="仿宋" w:eastAsia="仿宋" w:cs="仿宋"/>
        </w:rPr>
      </w:pPr>
      <w:r>
        <w:rPr>
          <w:rFonts w:hint="eastAsia" w:ascii="仿宋" w:hAnsi="仿宋" w:eastAsia="仿宋" w:cs="仿宋"/>
        </w:rPr>
        <w:t>七、乙方入驻服务平台后,在从事与审核项目相关的过程中，乙方所雇佣的工作人员及其他关联人员在工作中所发生的一切行为及后果(包括但不限于与此同时产生的纠纷、人身安全、财产损失和影响工作及公司利益等)均由乙方全权负责，甲方不承担任何责任。</w:t>
      </w:r>
    </w:p>
    <w:p>
      <w:pPr>
        <w:spacing w:line="360" w:lineRule="auto"/>
        <w:ind w:firstLine="560" w:firstLineChars="200"/>
        <w:rPr>
          <w:rFonts w:hint="eastAsia" w:ascii="仿宋" w:hAnsi="仿宋" w:eastAsia="仿宋" w:cs="仿宋"/>
        </w:rPr>
      </w:pPr>
      <w:r>
        <w:rPr>
          <w:rFonts w:hint="eastAsia" w:ascii="仿宋" w:hAnsi="仿宋" w:eastAsia="仿宋" w:cs="仿宋"/>
        </w:rPr>
        <w:t>八、乙方入驻服务平台后，要加强服务平台账号的管理及维护工作，严禁向他人、单位转借或存在共用账号的行为发生;若因账号未及时维护或更新给选取工作造成影响的,一切责任和法律后果均由乙方自行承担。</w:t>
      </w:r>
    </w:p>
    <w:p>
      <w:pPr>
        <w:spacing w:line="360" w:lineRule="auto"/>
        <w:ind w:firstLine="560" w:firstLineChars="200"/>
        <w:rPr>
          <w:rFonts w:hint="eastAsia" w:ascii="仿宋" w:hAnsi="仿宋" w:eastAsia="仿宋" w:cs="仿宋"/>
        </w:rPr>
      </w:pPr>
      <w:r>
        <w:rPr>
          <w:rFonts w:hint="eastAsia" w:ascii="仿宋" w:hAnsi="仿宋" w:eastAsia="仿宋" w:cs="仿宋"/>
        </w:rPr>
        <w:t>九、审核服务费的支付:参照川价发〔2008〕141号、南顺府发〔2019)14号的相关规定执行。</w:t>
      </w:r>
    </w:p>
    <w:p>
      <w:pPr>
        <w:spacing w:line="360" w:lineRule="auto"/>
        <w:ind w:firstLine="560" w:firstLineChars="200"/>
        <w:rPr>
          <w:rFonts w:hint="eastAsia" w:ascii="仿宋" w:hAnsi="仿宋" w:eastAsia="仿宋" w:cs="仿宋"/>
        </w:rPr>
      </w:pPr>
      <w:r>
        <w:rPr>
          <w:rFonts w:hint="eastAsia" w:ascii="仿宋" w:hAnsi="仿宋" w:eastAsia="仿宋" w:cs="仿宋"/>
        </w:rPr>
        <w:t>十、本协议有效期暂定为</w:t>
      </w:r>
      <w:r>
        <w:rPr>
          <w:rFonts w:hint="eastAsia" w:ascii="仿宋" w:hAnsi="仿宋" w:eastAsia="仿宋" w:cs="仿宋"/>
          <w:lang w:val="en-US" w:eastAsia="zh-CN"/>
        </w:rPr>
        <w:t>壹</w:t>
      </w:r>
      <w:r>
        <w:rPr>
          <w:rFonts w:hint="eastAsia" w:ascii="仿宋" w:hAnsi="仿宋" w:eastAsia="仿宋" w:cs="仿宋"/>
        </w:rPr>
        <w:t>年，自</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日至</w:t>
      </w:r>
      <w:r>
        <w:rPr>
          <w:rFonts w:hint="eastAsia" w:ascii="仿宋" w:hAnsi="仿宋" w:eastAsia="仿宋" w:cs="仿宋"/>
          <w:u w:val="single"/>
          <w:lang w:val="en-US" w:eastAsia="zh-CN"/>
        </w:rPr>
        <w:t xml:space="preserve">    </w:t>
      </w:r>
      <w:r>
        <w:rPr>
          <w:rFonts w:hint="eastAsia" w:ascii="仿宋" w:hAnsi="仿宋" w:eastAsia="仿宋" w:cs="仿宋"/>
        </w:rPr>
        <w:t>年</w:t>
      </w:r>
    </w:p>
    <w:p>
      <w:pPr>
        <w:spacing w:line="360" w:lineRule="auto"/>
        <w:rPr>
          <w:rFonts w:hint="eastAsia" w:ascii="仿宋" w:hAnsi="仿宋" w:eastAsia="仿宋" w:cs="仿宋"/>
        </w:rPr>
      </w:pP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日</w:t>
      </w:r>
      <w:r>
        <w:rPr>
          <w:rFonts w:hint="eastAsia" w:ascii="仿宋" w:hAnsi="仿宋" w:eastAsia="仿宋" w:cs="仿宋"/>
        </w:rPr>
        <w:t>止。</w:t>
      </w:r>
    </w:p>
    <w:p>
      <w:pPr>
        <w:spacing w:line="360" w:lineRule="auto"/>
        <w:ind w:firstLine="560" w:firstLineChars="200"/>
        <w:rPr>
          <w:rFonts w:hint="eastAsia" w:ascii="仿宋" w:hAnsi="仿宋" w:eastAsia="仿宋" w:cs="仿宋"/>
        </w:rPr>
      </w:pPr>
      <w:r>
        <w:rPr>
          <w:rFonts w:hint="eastAsia" w:ascii="仿宋" w:hAnsi="仿宋" w:eastAsia="仿宋" w:cs="仿宋"/>
        </w:rPr>
        <w:t>十一、本协议一式二份,经甲、乙双方签字、盖章后即生效,双方各执一份,均具有同等法律效力。本协议未尽事宜,双方可另行商议,经共同协商所签订的补充协议与本协议均具有同等法律效力。</w:t>
      </w:r>
    </w:p>
    <w:p>
      <w:pPr>
        <w:rPr>
          <w:rFonts w:hint="eastAsia"/>
        </w:rPr>
      </w:pPr>
    </w:p>
    <w:p>
      <w:pPr>
        <w:rPr>
          <w:rFonts w:hint="eastAsia"/>
        </w:rPr>
      </w:pPr>
    </w:p>
    <w:p>
      <w:pPr>
        <w:rPr>
          <w:rFonts w:hint="eastAsia" w:ascii="仿宋" w:hAnsi="仿宋" w:eastAsia="仿宋" w:cs="仿宋"/>
          <w:lang w:val="en-US" w:eastAsia="zh-CN"/>
        </w:rPr>
      </w:pPr>
      <w:r>
        <w:rPr>
          <w:rFonts w:hint="eastAsia" w:ascii="仿宋" w:hAnsi="仿宋" w:eastAsia="仿宋" w:cs="仿宋"/>
          <w:lang w:val="en-US" w:eastAsia="zh-CN"/>
        </w:rPr>
        <w:t>甲方（盖章）：</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乙方（盖章）：</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法定代表人：</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法定代表人：</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 xml:space="preserve">                                 委托代理人：</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p>
    <w:p>
      <w:pPr>
        <w:rPr>
          <w:rFonts w:hint="eastAsia" w:ascii="仿宋" w:hAnsi="仿宋" w:eastAsia="仿宋" w:cs="仿宋"/>
          <w:lang w:val="en-US" w:eastAsia="zh-CN"/>
        </w:rPr>
      </w:pPr>
      <w:r>
        <w:rPr>
          <w:rFonts w:hint="eastAsia" w:ascii="仿宋" w:hAnsi="仿宋" w:eastAsia="仿宋" w:cs="仿宋"/>
          <w:lang w:val="en-US" w:eastAsia="zh-CN"/>
        </w:rPr>
        <w:t>联系电话：</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联系电话： </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签订日期：</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签订地点：</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E7706"/>
    <w:rsid w:val="0004199D"/>
    <w:rsid w:val="00F21A06"/>
    <w:rsid w:val="02A90D56"/>
    <w:rsid w:val="04055B83"/>
    <w:rsid w:val="04113BF4"/>
    <w:rsid w:val="063F760D"/>
    <w:rsid w:val="07425014"/>
    <w:rsid w:val="095519B3"/>
    <w:rsid w:val="0B761858"/>
    <w:rsid w:val="0D364D3D"/>
    <w:rsid w:val="0D791260"/>
    <w:rsid w:val="0DB26A7E"/>
    <w:rsid w:val="0E9704B7"/>
    <w:rsid w:val="0FF9450B"/>
    <w:rsid w:val="11044F9E"/>
    <w:rsid w:val="11B31B34"/>
    <w:rsid w:val="141C389D"/>
    <w:rsid w:val="14210455"/>
    <w:rsid w:val="14372768"/>
    <w:rsid w:val="155B50B7"/>
    <w:rsid w:val="15B2233A"/>
    <w:rsid w:val="163C26E2"/>
    <w:rsid w:val="1640723C"/>
    <w:rsid w:val="16CE66D3"/>
    <w:rsid w:val="17A80A2B"/>
    <w:rsid w:val="18A60878"/>
    <w:rsid w:val="18EA6576"/>
    <w:rsid w:val="19A15270"/>
    <w:rsid w:val="19DF4141"/>
    <w:rsid w:val="1BC12F1A"/>
    <w:rsid w:val="1C6133D7"/>
    <w:rsid w:val="1CF346B2"/>
    <w:rsid w:val="1D4A2598"/>
    <w:rsid w:val="1DBC2272"/>
    <w:rsid w:val="1E1D717E"/>
    <w:rsid w:val="1E9B131E"/>
    <w:rsid w:val="1ED221E8"/>
    <w:rsid w:val="1EF90594"/>
    <w:rsid w:val="1F7C6AA4"/>
    <w:rsid w:val="214D6530"/>
    <w:rsid w:val="215C213A"/>
    <w:rsid w:val="215F7911"/>
    <w:rsid w:val="218640FE"/>
    <w:rsid w:val="21BC0324"/>
    <w:rsid w:val="23A423CC"/>
    <w:rsid w:val="24656A63"/>
    <w:rsid w:val="24712500"/>
    <w:rsid w:val="282805CF"/>
    <w:rsid w:val="283123DE"/>
    <w:rsid w:val="2A4A1F3B"/>
    <w:rsid w:val="2A81299E"/>
    <w:rsid w:val="2BA52A6D"/>
    <w:rsid w:val="2C1314CF"/>
    <w:rsid w:val="2CD67AAB"/>
    <w:rsid w:val="2E126C25"/>
    <w:rsid w:val="2E456C6C"/>
    <w:rsid w:val="2F301E0F"/>
    <w:rsid w:val="2F9B653E"/>
    <w:rsid w:val="2FD94A3B"/>
    <w:rsid w:val="2FE703A2"/>
    <w:rsid w:val="2FF96812"/>
    <w:rsid w:val="301134F6"/>
    <w:rsid w:val="31D17164"/>
    <w:rsid w:val="31E02EC1"/>
    <w:rsid w:val="323643F9"/>
    <w:rsid w:val="33246BC4"/>
    <w:rsid w:val="339E0718"/>
    <w:rsid w:val="348D1310"/>
    <w:rsid w:val="34BE6583"/>
    <w:rsid w:val="35F26B9E"/>
    <w:rsid w:val="36EA1ED6"/>
    <w:rsid w:val="37B80D84"/>
    <w:rsid w:val="383857FF"/>
    <w:rsid w:val="388848F6"/>
    <w:rsid w:val="38A01B4C"/>
    <w:rsid w:val="38CF1023"/>
    <w:rsid w:val="39312A44"/>
    <w:rsid w:val="397A665B"/>
    <w:rsid w:val="3A047E51"/>
    <w:rsid w:val="3A8D06F7"/>
    <w:rsid w:val="3ADC6C29"/>
    <w:rsid w:val="3B9632A7"/>
    <w:rsid w:val="3BCF0122"/>
    <w:rsid w:val="3DC828D3"/>
    <w:rsid w:val="3DE91A2C"/>
    <w:rsid w:val="3E802907"/>
    <w:rsid w:val="3EB97A70"/>
    <w:rsid w:val="3F3E2466"/>
    <w:rsid w:val="40DF62DC"/>
    <w:rsid w:val="410652A6"/>
    <w:rsid w:val="42720FC3"/>
    <w:rsid w:val="428F143A"/>
    <w:rsid w:val="4307248B"/>
    <w:rsid w:val="452E688C"/>
    <w:rsid w:val="45BF4BBB"/>
    <w:rsid w:val="47124689"/>
    <w:rsid w:val="47564442"/>
    <w:rsid w:val="488F2A43"/>
    <w:rsid w:val="492512B1"/>
    <w:rsid w:val="49E83E47"/>
    <w:rsid w:val="49F651EC"/>
    <w:rsid w:val="4A442FF0"/>
    <w:rsid w:val="4AAA1792"/>
    <w:rsid w:val="4AB06066"/>
    <w:rsid w:val="4AB91746"/>
    <w:rsid w:val="4B981741"/>
    <w:rsid w:val="4C516A8F"/>
    <w:rsid w:val="4CE777A1"/>
    <w:rsid w:val="4E022526"/>
    <w:rsid w:val="4E304D64"/>
    <w:rsid w:val="4E420136"/>
    <w:rsid w:val="4EBB1767"/>
    <w:rsid w:val="50E74890"/>
    <w:rsid w:val="51AD2D4E"/>
    <w:rsid w:val="51BB1FDE"/>
    <w:rsid w:val="524F57B4"/>
    <w:rsid w:val="527E66E6"/>
    <w:rsid w:val="5351513A"/>
    <w:rsid w:val="53E76A2D"/>
    <w:rsid w:val="542F01C3"/>
    <w:rsid w:val="545672D3"/>
    <w:rsid w:val="549265AF"/>
    <w:rsid w:val="55AA1DC8"/>
    <w:rsid w:val="570707CB"/>
    <w:rsid w:val="58066B87"/>
    <w:rsid w:val="58087DA6"/>
    <w:rsid w:val="59515E18"/>
    <w:rsid w:val="59C4792F"/>
    <w:rsid w:val="5A2E5828"/>
    <w:rsid w:val="5B1435E3"/>
    <w:rsid w:val="5B9C514D"/>
    <w:rsid w:val="5C1F329C"/>
    <w:rsid w:val="5CC612F7"/>
    <w:rsid w:val="5D483FFD"/>
    <w:rsid w:val="5D4D3179"/>
    <w:rsid w:val="5D631C2B"/>
    <w:rsid w:val="5D7E4802"/>
    <w:rsid w:val="5E2E7706"/>
    <w:rsid w:val="60CA4EC4"/>
    <w:rsid w:val="61C7066A"/>
    <w:rsid w:val="625A40CA"/>
    <w:rsid w:val="62FE3318"/>
    <w:rsid w:val="631F28B1"/>
    <w:rsid w:val="65740406"/>
    <w:rsid w:val="65C751F6"/>
    <w:rsid w:val="6667693D"/>
    <w:rsid w:val="66AE6907"/>
    <w:rsid w:val="684B40BF"/>
    <w:rsid w:val="690F60E7"/>
    <w:rsid w:val="6AA165CE"/>
    <w:rsid w:val="6C9A5D49"/>
    <w:rsid w:val="6DF80C55"/>
    <w:rsid w:val="6E650290"/>
    <w:rsid w:val="6E7A4156"/>
    <w:rsid w:val="6E7B4B0B"/>
    <w:rsid w:val="70740E72"/>
    <w:rsid w:val="7150621E"/>
    <w:rsid w:val="721F5ECF"/>
    <w:rsid w:val="727164A6"/>
    <w:rsid w:val="73802E96"/>
    <w:rsid w:val="77636320"/>
    <w:rsid w:val="77BA1D7A"/>
    <w:rsid w:val="786F43D6"/>
    <w:rsid w:val="7BD91ABD"/>
    <w:rsid w:val="7D7B0C6C"/>
    <w:rsid w:val="7D8A115E"/>
    <w:rsid w:val="7F82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8"/>
      <w:szCs w:val="24"/>
      <w:lang w:val="en-US" w:eastAsia="zh-CN" w:bidi="ar-SA"/>
    </w:rPr>
  </w:style>
  <w:style w:type="paragraph" w:styleId="2">
    <w:name w:val="heading 1"/>
    <w:basedOn w:val="1"/>
    <w:next w:val="1"/>
    <w:link w:val="13"/>
    <w:qFormat/>
    <w:uiPriority w:val="0"/>
    <w:pPr>
      <w:spacing w:before="0" w:beforeAutospacing="1" w:after="0" w:afterAutospacing="1"/>
      <w:jc w:val="center"/>
      <w:outlineLvl w:val="0"/>
    </w:pPr>
    <w:rPr>
      <w:rFonts w:hint="eastAsia" w:ascii="宋体" w:hAnsi="宋体" w:eastAsia="华文仿宋" w:cs="宋体"/>
      <w:b/>
      <w:kern w:val="44"/>
      <w:sz w:val="36"/>
      <w:szCs w:val="48"/>
      <w:lang w:bidi="ar"/>
    </w:rPr>
  </w:style>
  <w:style w:type="paragraph" w:styleId="3">
    <w:name w:val="heading 2"/>
    <w:basedOn w:val="1"/>
    <w:next w:val="1"/>
    <w:link w:val="14"/>
    <w:semiHidden/>
    <w:unhideWhenUsed/>
    <w:qFormat/>
    <w:uiPriority w:val="0"/>
    <w:pPr>
      <w:keepNext/>
      <w:keepLines/>
      <w:spacing w:before="260" w:after="260" w:line="416" w:lineRule="auto"/>
      <w:outlineLvl w:val="1"/>
    </w:pPr>
    <w:rPr>
      <w:rFonts w:ascii="Arial" w:hAnsi="Arial" w:eastAsia="宋体"/>
      <w:b/>
      <w:bCs/>
      <w:sz w:val="32"/>
      <w:szCs w:val="32"/>
    </w:rPr>
  </w:style>
  <w:style w:type="paragraph" w:styleId="4">
    <w:name w:val="heading 3"/>
    <w:basedOn w:val="1"/>
    <w:next w:val="5"/>
    <w:semiHidden/>
    <w:unhideWhenUsed/>
    <w:qFormat/>
    <w:uiPriority w:val="0"/>
    <w:pPr>
      <w:keepNext/>
      <w:keepLines/>
      <w:spacing w:before="20" w:beforeLines="0" w:beforeAutospacing="0" w:after="20" w:afterLines="0" w:afterAutospacing="0" w:line="240" w:lineRule="auto"/>
      <w:jc w:val="center"/>
      <w:outlineLvl w:val="2"/>
    </w:pPr>
    <w:rPr>
      <w:rFonts w:ascii="Times New Roman" w:hAnsi="Times New Roman" w:cs="Times New Roman"/>
      <w:b/>
      <w:kern w:val="2"/>
      <w:sz w:val="30"/>
      <w:szCs w:val="24"/>
      <w:lang w:val="en-US" w:bidi="ar-SA"/>
    </w:rPr>
  </w:style>
  <w:style w:type="paragraph" w:styleId="6">
    <w:name w:val="heading 4"/>
    <w:basedOn w:val="1"/>
    <w:next w:val="1"/>
    <w:link w:val="12"/>
    <w:semiHidden/>
    <w:unhideWhenUsed/>
    <w:qFormat/>
    <w:uiPriority w:val="0"/>
    <w:pPr>
      <w:keepNext/>
      <w:keepLines/>
      <w:spacing w:before="40" w:beforeLines="0" w:beforeAutospacing="0" w:after="50" w:afterLines="0" w:afterAutospacing="0" w:line="240" w:lineRule="auto"/>
      <w:jc w:val="center"/>
      <w:outlineLvl w:val="3"/>
    </w:pPr>
    <w:rPr>
      <w:rFonts w:ascii="Arial" w:hAnsi="Arial"/>
      <w:b/>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rFonts w:ascii="Times New Roman" w:hAnsi="Times New Roman" w:eastAsia="宋体" w:cs="Times New Roman"/>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8">
    <w:name w:val="Body Text"/>
    <w:basedOn w:val="1"/>
    <w:qFormat/>
    <w:uiPriority w:val="0"/>
    <w:pPr>
      <w:spacing w:after="120" w:afterLines="0" w:afterAutospacing="0"/>
    </w:pPr>
  </w:style>
  <w:style w:type="paragraph" w:styleId="9">
    <w:name w:val="Subtitle"/>
    <w:basedOn w:val="1"/>
    <w:qFormat/>
    <w:uiPriority w:val="0"/>
    <w:pPr>
      <w:spacing w:before="240" w:after="60" w:line="312" w:lineRule="auto"/>
      <w:jc w:val="center"/>
      <w:outlineLvl w:val="1"/>
    </w:pPr>
    <w:rPr>
      <w:rFonts w:ascii="Arial" w:hAnsi="Arial" w:eastAsia="宋体" w:cs="Arial"/>
      <w:b/>
      <w:bCs/>
      <w:kern w:val="28"/>
      <w:sz w:val="28"/>
      <w:szCs w:val="32"/>
    </w:rPr>
  </w:style>
  <w:style w:type="character" w:customStyle="1" w:styleId="12">
    <w:name w:val="标题 4 Char"/>
    <w:link w:val="6"/>
    <w:qFormat/>
    <w:uiPriority w:val="0"/>
    <w:rPr>
      <w:rFonts w:ascii="Arial" w:hAnsi="Arial" w:eastAsia="宋体"/>
      <w:b/>
      <w:sz w:val="28"/>
    </w:rPr>
  </w:style>
  <w:style w:type="character" w:customStyle="1" w:styleId="13">
    <w:name w:val="标题 1 Char"/>
    <w:link w:val="2"/>
    <w:qFormat/>
    <w:uiPriority w:val="0"/>
    <w:rPr>
      <w:rFonts w:ascii="宋体" w:hAnsi="宋体" w:eastAsia="华文仿宋"/>
      <w:b/>
      <w:kern w:val="44"/>
      <w:sz w:val="32"/>
    </w:rPr>
  </w:style>
  <w:style w:type="character" w:customStyle="1" w:styleId="14">
    <w:name w:val="标题 2 Char"/>
    <w:link w:val="3"/>
    <w:qFormat/>
    <w:uiPriority w:val="0"/>
    <w:rPr>
      <w:rFonts w:ascii="Arial" w:hAnsi="Arial" w:eastAsia="宋体" w:cs="Times New Roman"/>
      <w:b/>
      <w:sz w:val="30"/>
    </w:rPr>
  </w:style>
  <w:style w:type="paragraph" w:customStyle="1" w:styleId="15">
    <w:name w:val="标题5"/>
    <w:basedOn w:val="2"/>
    <w:next w:val="1"/>
    <w:qFormat/>
    <w:uiPriority w:val="0"/>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2021-07-30T07:29:00Z</dcterms:created>
  <dc:creator>财迷</dc:creator>
  <cp:lastModifiedBy>LuCiFer</cp:lastModifiedBy>
  <dcterms:modified xsi:type="dcterms:W3CDTF">2021-08-03T07:25:48Z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8E682A4BC2C34214A774FFD6C0DDF159</vt:lpwstr>
  </property>
</Properties>
</file>